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22" w:type="dxa"/>
        <w:tblLook w:val="04A0"/>
      </w:tblPr>
      <w:tblGrid>
        <w:gridCol w:w="2093"/>
        <w:gridCol w:w="7229"/>
      </w:tblGrid>
      <w:tr w:rsidR="005B1309" w:rsidTr="008A71EA">
        <w:tc>
          <w:tcPr>
            <w:tcW w:w="2093" w:type="dxa"/>
            <w:vAlign w:val="center"/>
          </w:tcPr>
          <w:p w:rsidR="005B1309" w:rsidRDefault="005B1309" w:rsidP="008A71EA">
            <w:pPr>
              <w:rPr>
                <w:b/>
              </w:rPr>
            </w:pPr>
            <w:r w:rsidRPr="004D5CCD">
              <w:rPr>
                <w:b/>
              </w:rPr>
              <w:t>Název materiálu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:rsidR="005B1309" w:rsidRDefault="008A71EA" w:rsidP="008A71EA">
            <w:pPr>
              <w:rPr>
                <w:b/>
              </w:rPr>
            </w:pPr>
            <w:r>
              <w:rPr>
                <w:b/>
              </w:rPr>
              <w:t>Národní program snižování emisí ČR</w:t>
            </w:r>
            <w:r w:rsidRPr="008A71EA">
              <w:t xml:space="preserve"> (zveřejněno </w:t>
            </w:r>
            <w:proofErr w:type="spellStart"/>
            <w:r w:rsidRPr="008A71EA">
              <w:t>HK</w:t>
            </w:r>
            <w:proofErr w:type="spellEnd"/>
            <w:r w:rsidRPr="008A71EA">
              <w:t xml:space="preserve"> ČR dne 9. 6. 2015)</w:t>
            </w:r>
          </w:p>
        </w:tc>
      </w:tr>
      <w:tr w:rsidR="005B1309" w:rsidTr="008A71EA">
        <w:tc>
          <w:tcPr>
            <w:tcW w:w="2093" w:type="dxa"/>
            <w:vAlign w:val="center"/>
          </w:tcPr>
          <w:p w:rsidR="005B1309" w:rsidRDefault="005B1309" w:rsidP="008A71EA">
            <w:pPr>
              <w:rPr>
                <w:b/>
              </w:rPr>
            </w:pPr>
            <w:r w:rsidRPr="004D5CCD">
              <w:rPr>
                <w:b/>
              </w:rPr>
              <w:t>Jméno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:rsidR="005B1309" w:rsidRPr="008A71EA" w:rsidRDefault="008A71EA" w:rsidP="008A71EA">
            <w:r w:rsidRPr="008A71EA">
              <w:t>Tomáš Pecánek</w:t>
            </w:r>
          </w:p>
        </w:tc>
      </w:tr>
      <w:tr w:rsidR="005B1309" w:rsidTr="008A71EA">
        <w:tc>
          <w:tcPr>
            <w:tcW w:w="2093" w:type="dxa"/>
            <w:vAlign w:val="center"/>
          </w:tcPr>
          <w:p w:rsidR="005B1309" w:rsidRDefault="005B1309" w:rsidP="008A71EA">
            <w:pPr>
              <w:rPr>
                <w:b/>
              </w:rPr>
            </w:pPr>
            <w:r w:rsidRPr="004D5CCD">
              <w:rPr>
                <w:b/>
              </w:rPr>
              <w:t>Telefon</w:t>
            </w:r>
            <w:r w:rsidRPr="004D5CCD">
              <w:rPr>
                <w:b/>
              </w:rPr>
              <w:tab/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:rsidR="005B1309" w:rsidRPr="008A71EA" w:rsidRDefault="008A71EA" w:rsidP="008A71EA">
            <w:r w:rsidRPr="008A71EA">
              <w:t>+420 602 560 771</w:t>
            </w:r>
          </w:p>
        </w:tc>
      </w:tr>
      <w:tr w:rsidR="005B1309" w:rsidTr="008A71EA">
        <w:tc>
          <w:tcPr>
            <w:tcW w:w="2093" w:type="dxa"/>
            <w:vAlign w:val="center"/>
          </w:tcPr>
          <w:p w:rsidR="005B1309" w:rsidRDefault="005B1309" w:rsidP="008A71EA">
            <w:pPr>
              <w:rPr>
                <w:b/>
              </w:rPr>
            </w:pPr>
            <w:r w:rsidRPr="004D5CCD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:rsidR="005B1309" w:rsidRPr="008A71EA" w:rsidRDefault="008A71EA" w:rsidP="008A71EA">
            <w:proofErr w:type="spellStart"/>
            <w:r w:rsidRPr="008A71EA">
              <w:t>tomas.pecanek</w:t>
            </w:r>
            <w:proofErr w:type="spellEnd"/>
            <w:r w:rsidRPr="008A71EA">
              <w:t>@</w:t>
            </w:r>
            <w:proofErr w:type="spellStart"/>
            <w:r w:rsidRPr="008A71EA">
              <w:t>cgoa.cz</w:t>
            </w:r>
            <w:proofErr w:type="spellEnd"/>
          </w:p>
        </w:tc>
      </w:tr>
    </w:tbl>
    <w:p w:rsidR="008A71EA" w:rsidRPr="00E02E9C" w:rsidRDefault="008A71EA" w:rsidP="00E02E9C">
      <w:pPr>
        <w:tabs>
          <w:tab w:val="left" w:pos="567"/>
        </w:tabs>
        <w:spacing w:after="0" w:line="240" w:lineRule="auto"/>
        <w:jc w:val="both"/>
        <w:rPr>
          <w:b/>
        </w:rPr>
      </w:pPr>
    </w:p>
    <w:p w:rsidR="004D5CCD" w:rsidRPr="008A71EA" w:rsidRDefault="008A71EA" w:rsidP="008A71EA">
      <w:pP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DC3EB8" w:rsidRPr="008A71EA">
        <w:rPr>
          <w:b/>
        </w:rPr>
        <w:t xml:space="preserve">ZÁSADNÍ </w:t>
      </w:r>
      <w:r w:rsidR="004D5CCD" w:rsidRPr="008A71EA">
        <w:rPr>
          <w:b/>
        </w:rPr>
        <w:t>KONKRÉTNÍ PŘIPOMÍNK</w:t>
      </w:r>
      <w:r w:rsidR="0032279B" w:rsidRPr="008A71EA">
        <w:rPr>
          <w:b/>
        </w:rPr>
        <w:t>Y</w:t>
      </w:r>
    </w:p>
    <w:p w:rsidR="00950081" w:rsidRPr="002B3746" w:rsidRDefault="00950081" w:rsidP="00950081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b/>
        </w:rPr>
      </w:pPr>
    </w:p>
    <w:p w:rsidR="00E02E9C" w:rsidRPr="00282BE5" w:rsidRDefault="00E02E9C" w:rsidP="00E02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282BE5">
        <w:rPr>
          <w:b/>
        </w:rPr>
        <w:t>Připomínka k</w:t>
      </w:r>
      <w:r w:rsidR="0063510C" w:rsidRPr="00282BE5">
        <w:rPr>
          <w:b/>
        </w:rPr>
        <w:t> článku 4: Hnací síly – sektorová analýza, strana 8, závěry, 5. odrážka</w:t>
      </w:r>
    </w:p>
    <w:p w:rsidR="00E02E9C" w:rsidRPr="0063510C" w:rsidRDefault="0063510C" w:rsidP="00E02E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3510C">
        <w:t>Navrhujeme upravit stávající text následovně:</w:t>
      </w:r>
    </w:p>
    <w:p w:rsidR="0063510C" w:rsidRPr="0063510C" w:rsidRDefault="0063510C" w:rsidP="00E02E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3510C">
        <w:t xml:space="preserve">I přes mírný pokles je </w:t>
      </w:r>
      <w:r w:rsidRPr="0047349B">
        <w:t xml:space="preserve">téměř pětina domácností dosud lokálně vytápěna pevnými palivy s tím, že se často jedná o emisně nevyhovující zastaralé kotle s nízkou účinností. </w:t>
      </w:r>
      <w:r w:rsidR="007B3F0A" w:rsidRPr="0047349B">
        <w:rPr>
          <w:b/>
        </w:rPr>
        <w:t>Hlavními důvody jsou z minulosti přetrvávající výhodné nastavení cen tuzemských pevných fosilních paliv, které však již v odpovídající míře nezohledňuje dopady na zdraví obyvatel a životní prostředí. A nastavení podmínek v minulých letech, které nemotivovaly domácnosti k obměně morálně zastaralých zařízení a neumožňovaly účinnou kontrolu plnění emisních limitů v případě lokálních topenišť fyzických osob.</w:t>
      </w:r>
      <w:r w:rsidR="00057AB0" w:rsidRPr="0047349B">
        <w:t xml:space="preserve"> </w:t>
      </w:r>
      <w:r w:rsidRPr="0047349B">
        <w:rPr>
          <w:strike/>
        </w:rPr>
        <w:t>Jedním z d</w:t>
      </w:r>
      <w:r w:rsidRPr="009141DF">
        <w:rPr>
          <w:strike/>
        </w:rPr>
        <w:t>ůvodů je nedostupnost k sítím zemního plynu v malých obcích a vyšší náklady na vytápění v případě zemního plynu či elektrické energie.</w:t>
      </w:r>
    </w:p>
    <w:p w:rsidR="00BB59B5" w:rsidRPr="0063510C" w:rsidRDefault="00BB59B5" w:rsidP="00E02E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E02E9C" w:rsidRDefault="00E02E9C" w:rsidP="00E02E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9141DF" w:rsidRPr="009141DF" w:rsidRDefault="00265046" w:rsidP="00E02E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 xml:space="preserve">Hlavní důvody masového využívání tuhých paliv spatřujeme zejména v nastavení technicko-ekonomických podmínek, které jednak plně nezohledňují dopady užití pevných paliv na životní prostředí a zdraví obyvatel a umožňují provoz zastaralých zařízení. </w:t>
      </w:r>
      <w:r w:rsidR="009141DF">
        <w:t xml:space="preserve">Argument nedostupnosti k sítím zemního plynu </w:t>
      </w:r>
      <w:r>
        <w:t xml:space="preserve">má svou platnost ve vybraných malých obcích či samotách, ale z pohledu celkových bilancí </w:t>
      </w:r>
      <w:r w:rsidR="00BE23DF">
        <w:t xml:space="preserve">jde o argument zástupný. </w:t>
      </w:r>
      <w:r w:rsidR="009141DF">
        <w:t xml:space="preserve">V ČR je plynofikováno cca 3 990 obcí, což </w:t>
      </w:r>
      <w:r w:rsidR="00BE23DF">
        <w:t xml:space="preserve">představuje </w:t>
      </w:r>
      <w:r w:rsidR="009141DF">
        <w:t>více než 64 % všech obcí, v nichž bydlí 94 % obyvatel. V malých obcích v kategorii s počtem obyvatel do 199 a s počtem obyvatel od 200 do 499</w:t>
      </w:r>
      <w:r>
        <w:t>, což představuje 58,3 %, je plynofikováno 50,2 % obcí.</w:t>
      </w:r>
      <w:r w:rsidR="00544135">
        <w:t xml:space="preserve"> V případě poptávky navíc nic nebrání dalšímu zahuštění plynofikace, pokud se ukáže jako ekonomicky obhajitelné.</w:t>
      </w:r>
    </w:p>
    <w:p w:rsidR="00282BE5" w:rsidRPr="005A7778" w:rsidRDefault="00282BE5" w:rsidP="00282BE5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282BE5" w:rsidRPr="00282BE5" w:rsidRDefault="00282BE5" w:rsidP="00282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282BE5">
        <w:rPr>
          <w:b/>
        </w:rPr>
        <w:t xml:space="preserve">Připomínka k článku 13: </w:t>
      </w:r>
      <w:proofErr w:type="spellStart"/>
      <w:r w:rsidRPr="00282BE5">
        <w:rPr>
          <w:b/>
        </w:rPr>
        <w:t>SWOT</w:t>
      </w:r>
      <w:proofErr w:type="spellEnd"/>
      <w:r w:rsidRPr="00282BE5">
        <w:rPr>
          <w:b/>
        </w:rPr>
        <w:t xml:space="preserve"> analýza, strana 48, v tabulce Odezva – Slabé stránky, poslední </w:t>
      </w:r>
      <w:r>
        <w:rPr>
          <w:b/>
        </w:rPr>
        <w:t>odrážka</w:t>
      </w:r>
    </w:p>
    <w:p w:rsidR="00282BE5" w:rsidRDefault="00282BE5" w:rsidP="00282BE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>Požadujeme bez náhrady vypustit text:</w:t>
      </w:r>
    </w:p>
    <w:p w:rsidR="00282BE5" w:rsidRPr="0063510C" w:rsidRDefault="00282BE5" w:rsidP="00282BE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>„</w:t>
      </w:r>
      <w:r w:rsidRPr="00282BE5">
        <w:t>-</w:t>
      </w:r>
      <w:r w:rsidRPr="00282BE5">
        <w:tab/>
        <w:t>Pravidla pro stanovení ekonomické přijatelnosti využití tepla ze soustavy zásobování tepelnou energií nebo zdroje energie, který není stacionárním zdrojem (§ 16, odstavec 8).</w:t>
      </w:r>
      <w:r>
        <w:t>“</w:t>
      </w:r>
    </w:p>
    <w:p w:rsidR="00282BE5" w:rsidRPr="0063510C" w:rsidRDefault="00282BE5" w:rsidP="00282BE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282BE5" w:rsidRDefault="00282BE5" w:rsidP="00282BE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AA631C" w:rsidRPr="009141DF" w:rsidRDefault="00AA631C" w:rsidP="00282BE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>Nevydání vyhlášky (zmocnění v zákoně o ochraně ovzduší) nelze požadovat za „Slabou stránku“</w:t>
      </w:r>
      <w:r w:rsidR="00544135">
        <w:t>, protože její neexistence nijak nezhorší (ani nezlepší) životní prostředí v ČR.</w:t>
      </w:r>
      <w:r>
        <w:t xml:space="preserve"> K přípravě vyhlášky byla </w:t>
      </w:r>
      <w:r w:rsidR="00544135">
        <w:t xml:space="preserve">při </w:t>
      </w:r>
      <w:proofErr w:type="spellStart"/>
      <w:r>
        <w:t>MŽP</w:t>
      </w:r>
      <w:proofErr w:type="spellEnd"/>
      <w:r>
        <w:t xml:space="preserve"> vytvořena E</w:t>
      </w:r>
      <w:r w:rsidRPr="00AA631C">
        <w:t>xpertní komis</w:t>
      </w:r>
      <w:r w:rsidR="00544135">
        <w:t>e</w:t>
      </w:r>
      <w:r w:rsidRPr="00AA631C">
        <w:t xml:space="preserve"> pro vyhlášku o pravidlech pro stanovení ekonomické přijatelnosti dodávek ze </w:t>
      </w:r>
      <w:r w:rsidR="00786B43">
        <w:t xml:space="preserve">soustav </w:t>
      </w:r>
      <w:proofErr w:type="spellStart"/>
      <w:r w:rsidRPr="00AA631C">
        <w:t>C</w:t>
      </w:r>
      <w:r w:rsidR="00786B43">
        <w:t>Z</w:t>
      </w:r>
      <w:r w:rsidRPr="00AA631C">
        <w:t>T</w:t>
      </w:r>
      <w:proofErr w:type="spellEnd"/>
      <w:r>
        <w:t xml:space="preserve">. Po analýze shromážděných </w:t>
      </w:r>
      <w:r w:rsidR="005A7778">
        <w:t>podkladů a </w:t>
      </w:r>
      <w:r>
        <w:t xml:space="preserve">argumentů se Komise od ledna 2014 již nesešla. </w:t>
      </w:r>
      <w:r w:rsidR="005A7778">
        <w:t xml:space="preserve">Lze předpokládat, že k vydání vyhlášky neexistují relevantní důvody a </w:t>
      </w:r>
      <w:proofErr w:type="spellStart"/>
      <w:r w:rsidR="005A7778">
        <w:t>MŽP</w:t>
      </w:r>
      <w:proofErr w:type="spellEnd"/>
      <w:r w:rsidR="005A7778">
        <w:t xml:space="preserve"> na její vydání rezignovalo.</w:t>
      </w:r>
    </w:p>
    <w:p w:rsidR="00282BE5" w:rsidRPr="005A7778" w:rsidRDefault="00282BE5" w:rsidP="00282BE5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5A7778" w:rsidRPr="00282BE5" w:rsidRDefault="005A7778" w:rsidP="005A7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282BE5">
        <w:rPr>
          <w:b/>
        </w:rPr>
        <w:t xml:space="preserve">Připomínka </w:t>
      </w:r>
      <w:r>
        <w:rPr>
          <w:b/>
        </w:rPr>
        <w:t xml:space="preserve">k příloze č. 1 – karty opatření, </w:t>
      </w:r>
      <w:r w:rsidR="0002368B">
        <w:rPr>
          <w:b/>
        </w:rPr>
        <w:t xml:space="preserve">str. </w:t>
      </w:r>
      <w:r w:rsidR="00303377">
        <w:rPr>
          <w:b/>
        </w:rPr>
        <w:t xml:space="preserve">83, opatření </w:t>
      </w:r>
      <w:proofErr w:type="spellStart"/>
      <w:r w:rsidR="00303377">
        <w:rPr>
          <w:b/>
        </w:rPr>
        <w:t>BA3</w:t>
      </w:r>
      <w:proofErr w:type="spellEnd"/>
      <w:r w:rsidR="00303377">
        <w:rPr>
          <w:b/>
        </w:rPr>
        <w:t xml:space="preserve"> </w:t>
      </w:r>
      <w:r w:rsidR="00303377" w:rsidRPr="00303377">
        <w:rPr>
          <w:b/>
        </w:rPr>
        <w:t xml:space="preserve">Snížení podílu pevných fosilních paliv ve spalovacích stacionárních zdrojích nespadajících pod systém EU </w:t>
      </w:r>
      <w:proofErr w:type="spellStart"/>
      <w:r w:rsidR="00303377" w:rsidRPr="00303377">
        <w:rPr>
          <w:b/>
        </w:rPr>
        <w:t>ETS</w:t>
      </w:r>
      <w:proofErr w:type="spellEnd"/>
    </w:p>
    <w:p w:rsidR="00303377" w:rsidRDefault="00A7534C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 xml:space="preserve">Požadujeme </w:t>
      </w:r>
      <w:r w:rsidR="003C7E14">
        <w:t xml:space="preserve">opatření </w:t>
      </w:r>
      <w:proofErr w:type="spellStart"/>
      <w:r w:rsidR="003C7E14">
        <w:t>BA3</w:t>
      </w:r>
      <w:proofErr w:type="spellEnd"/>
      <w:r w:rsidR="003C7E14">
        <w:t xml:space="preserve"> </w:t>
      </w:r>
      <w:r>
        <w:t>odstran</w:t>
      </w:r>
      <w:r w:rsidR="003C7E14">
        <w:t xml:space="preserve">it bez náhrady, popř. provést jeho </w:t>
      </w:r>
      <w:r>
        <w:t xml:space="preserve">celkové přepracování </w:t>
      </w:r>
      <w:r w:rsidR="00544135">
        <w:t xml:space="preserve">se zaměřením na urychlení obměny středních spalovacích zdrojů tepla na pevná paliva, přechodem na </w:t>
      </w:r>
      <w:r w:rsidR="00544135" w:rsidRPr="00B51194">
        <w:t>plynové</w:t>
      </w:r>
      <w:r w:rsidR="00544135">
        <w:t>,</w:t>
      </w:r>
      <w:r w:rsidR="00544135" w:rsidRPr="00B51194">
        <w:t xml:space="preserve"> </w:t>
      </w:r>
      <w:proofErr w:type="spellStart"/>
      <w:r w:rsidR="00544135">
        <w:t>vysokoúčinné</w:t>
      </w:r>
      <w:proofErr w:type="spellEnd"/>
      <w:r w:rsidR="00544135">
        <w:t xml:space="preserve"> </w:t>
      </w:r>
      <w:r w:rsidR="00544135" w:rsidRPr="00B51194">
        <w:t>kogenerační zdroje</w:t>
      </w:r>
      <w:r w:rsidR="00544135">
        <w:t>.</w:t>
      </w:r>
    </w:p>
    <w:p w:rsidR="005A7778" w:rsidRPr="0063510C" w:rsidRDefault="005A7778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C21CEE" w:rsidRDefault="005A7778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3752E">
        <w:rPr>
          <w:b/>
        </w:rPr>
        <w:t>O</w:t>
      </w:r>
      <w:r>
        <w:rPr>
          <w:b/>
        </w:rPr>
        <w:t>důvodnění:</w:t>
      </w:r>
      <w:r w:rsidR="00A7534C">
        <w:rPr>
          <w:b/>
        </w:rPr>
        <w:t xml:space="preserve"> </w:t>
      </w:r>
      <w:r w:rsidR="00C21CEE" w:rsidRPr="00C21CEE">
        <w:t xml:space="preserve">Celý popis opatření </w:t>
      </w:r>
      <w:r w:rsidR="00C21CEE">
        <w:t xml:space="preserve">je zcela nejasný až zmatečný. </w:t>
      </w:r>
      <w:r w:rsidR="00A7534C" w:rsidRPr="00C21CEE">
        <w:t>Z</w:t>
      </w:r>
      <w:r w:rsidR="00A7534C">
        <w:t xml:space="preserve"> předloženého návrhu není vůbec zřejmé, co si pod tímto opatřením představit a jaká je cílová </w:t>
      </w:r>
      <w:r w:rsidR="00BA412F">
        <w:t>oblast</w:t>
      </w:r>
      <w:r w:rsidR="00A7534C">
        <w:t xml:space="preserve">. Jedná se pouze o lokální vytápění domácností (jak je uvedeno v popisu opatření a vazbu na analytickou část), o všechny spalovací stacionární zdroje (dotčené sektory – energetika) nebo </w:t>
      </w:r>
      <w:r w:rsidR="00C21CEE">
        <w:t xml:space="preserve">dokonce </w:t>
      </w:r>
      <w:r w:rsidR="00A7534C">
        <w:t xml:space="preserve">o </w:t>
      </w:r>
      <w:r w:rsidR="00C21CEE">
        <w:t xml:space="preserve">(nejspíš stacionární) </w:t>
      </w:r>
      <w:r w:rsidR="00A7534C">
        <w:lastRenderedPageBreak/>
        <w:t xml:space="preserve">parní lokomotivy, </w:t>
      </w:r>
      <w:r w:rsidR="00C21CEE">
        <w:t xml:space="preserve">parní válce a </w:t>
      </w:r>
      <w:r w:rsidR="00A7534C">
        <w:t>lokomobily (dotčené sektory – doprava</w:t>
      </w:r>
      <w:r w:rsidR="00C21CEE">
        <w:t xml:space="preserve">, synergie s ostatními opatřeními – </w:t>
      </w:r>
      <w:proofErr w:type="spellStart"/>
      <w:r w:rsidR="00C21CEE">
        <w:t>AA8</w:t>
      </w:r>
      <w:proofErr w:type="spellEnd"/>
      <w:r w:rsidR="00C21CEE">
        <w:t>: podpora nákupu osobních vozidel šetrných k životnímu prostředí)?</w:t>
      </w:r>
    </w:p>
    <w:p w:rsidR="00BA412F" w:rsidRDefault="00BA412F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 xml:space="preserve">Jaký je smysl sdělení, že sektor lokálního vytápění domácností je „přímou konkurencí velkým teplárenským zdrojům“? </w:t>
      </w:r>
      <w:r w:rsidR="00C55D7B">
        <w:t xml:space="preserve">Pomineme-li omezenou logiku tohoto tvrzení, </w:t>
      </w:r>
      <w:r w:rsidR="00014188">
        <w:t xml:space="preserve">jaký užitek přinese domácnostem, pro které je z objektivních důvodů lokální topeniště jediným řešením,„uplatnění ekonomických nástrojů s efektem zlepšení konkurenceschopnosti soustav </w:t>
      </w:r>
      <w:proofErr w:type="spellStart"/>
      <w:r w:rsidR="00014188">
        <w:t>CZT</w:t>
      </w:r>
      <w:proofErr w:type="spellEnd"/>
      <w:r w:rsidR="00014188">
        <w:t>“?</w:t>
      </w:r>
    </w:p>
    <w:p w:rsidR="00C4223E" w:rsidRDefault="00C4223E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3C7E14" w:rsidRDefault="00C4223E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 xml:space="preserve">Pokud je opatřením myšleno </w:t>
      </w:r>
      <w:r w:rsidR="003C7E14">
        <w:t xml:space="preserve">plošné </w:t>
      </w:r>
      <w:r>
        <w:t>z</w:t>
      </w:r>
      <w:r w:rsidRPr="00C4223E">
        <w:t xml:space="preserve">avedení uhlíkové daně pro zdroje nespadající pod EU </w:t>
      </w:r>
      <w:proofErr w:type="spellStart"/>
      <w:r w:rsidRPr="00C4223E">
        <w:t>ETS</w:t>
      </w:r>
      <w:proofErr w:type="spellEnd"/>
      <w:r w:rsidRPr="00C4223E">
        <w:t xml:space="preserve"> </w:t>
      </w:r>
      <w:r>
        <w:t xml:space="preserve">(soudě podle názvu opatření </w:t>
      </w:r>
      <w:proofErr w:type="spellStart"/>
      <w:r>
        <w:t>BA3</w:t>
      </w:r>
      <w:proofErr w:type="spellEnd"/>
      <w:r>
        <w:t xml:space="preserve"> v popisu synergie u opatření </w:t>
      </w:r>
      <w:proofErr w:type="spellStart"/>
      <w:r>
        <w:t>DA1</w:t>
      </w:r>
      <w:proofErr w:type="spellEnd"/>
      <w:r>
        <w:t xml:space="preserve">), </w:t>
      </w:r>
      <w:r w:rsidR="003C7E14">
        <w:t xml:space="preserve">požadujeme odstranění opatření bez náhrady. Zavedení další daně považujeme za </w:t>
      </w:r>
      <w:r>
        <w:t>neopodstatněn</w:t>
      </w:r>
      <w:r w:rsidR="001638BC">
        <w:t>é</w:t>
      </w:r>
      <w:r w:rsidR="00014188">
        <w:t xml:space="preserve"> a za dané situace kontraproduktivní</w:t>
      </w:r>
      <w:r>
        <w:t xml:space="preserve">. </w:t>
      </w:r>
      <w:r w:rsidR="003C7E14">
        <w:t xml:space="preserve">V současnosti jsou veškeré zdroje energie zdaněny ekologickou (zákon o stabilitě veřejných rozpočtů) nebo spotřební daní. Systém EU </w:t>
      </w:r>
      <w:proofErr w:type="spellStart"/>
      <w:r w:rsidR="003C7E14">
        <w:t>ETS</w:t>
      </w:r>
      <w:proofErr w:type="spellEnd"/>
      <w:r w:rsidR="003C7E14">
        <w:t xml:space="preserve"> byl vytvořen jako motivační nástroj, který </w:t>
      </w:r>
      <w:r w:rsidR="001638BC">
        <w:t xml:space="preserve">nutí </w:t>
      </w:r>
      <w:r w:rsidR="00A43425">
        <w:t>p</w:t>
      </w:r>
      <w:r w:rsidR="003C7E14">
        <w:t>rovozovatele velkých stacionárních zdrojů k realizaci opatření na snižování emisí</w:t>
      </w:r>
      <w:r w:rsidR="00A43425">
        <w:t xml:space="preserve">. Rozhodnutí o rozsahu opatření a časovém horizontu realizace je zcela v rukou provozovatele a jeho </w:t>
      </w:r>
      <w:r w:rsidR="003C7E14">
        <w:t>ekonomick</w:t>
      </w:r>
      <w:r w:rsidR="00A43425">
        <w:t xml:space="preserve">ém posouzení. Oblast mimo EU </w:t>
      </w:r>
      <w:proofErr w:type="spellStart"/>
      <w:r w:rsidR="00A43425">
        <w:t>ETS</w:t>
      </w:r>
      <w:proofErr w:type="spellEnd"/>
      <w:r w:rsidR="00A43425">
        <w:t>, užití středních a malých spalovacích stacionárních zdrojů</w:t>
      </w:r>
      <w:r w:rsidR="001638BC">
        <w:t>,</w:t>
      </w:r>
      <w:r w:rsidR="00A43425">
        <w:t xml:space="preserve"> je upravena odlišně. Možnost užití malých spalovacích zdrojů upravuje směrnice 2009/125/ES </w:t>
      </w:r>
      <w:r w:rsidR="00A43425" w:rsidRPr="00A43425">
        <w:t xml:space="preserve">o stanovení rámce pro určení požadavků na </w:t>
      </w:r>
      <w:proofErr w:type="spellStart"/>
      <w:r w:rsidR="00A43425" w:rsidRPr="00A43425">
        <w:t>ekodesign</w:t>
      </w:r>
      <w:proofErr w:type="spellEnd"/>
      <w:r w:rsidR="00A43425" w:rsidRPr="00A43425">
        <w:t xml:space="preserve"> výrobků spojených se spotřebou energie</w:t>
      </w:r>
      <w:r w:rsidR="00A43425">
        <w:t xml:space="preserve"> a navazující nařízení k této směrnici. Tato nařízení jednoznačně určuj</w:t>
      </w:r>
      <w:r w:rsidR="001E3DE7">
        <w:t>í</w:t>
      </w:r>
      <w:r w:rsidR="00A43425">
        <w:t xml:space="preserve"> parametry</w:t>
      </w:r>
      <w:r w:rsidR="001E3DE7">
        <w:t xml:space="preserve">, které musí daná </w:t>
      </w:r>
      <w:r w:rsidR="00A43425">
        <w:t xml:space="preserve">kategorie zařízení </w:t>
      </w:r>
      <w:r w:rsidR="001E3DE7">
        <w:t>splňovat, vč. termínů, kdy</w:t>
      </w:r>
      <w:r w:rsidR="001638BC">
        <w:t xml:space="preserve"> již </w:t>
      </w:r>
      <w:r w:rsidR="001E3DE7">
        <w:t xml:space="preserve">nevyhovující zařízení nemohou být uváděna na trh ani provozována. V případě středních spalovacích zdrojů je v současnosti připravována obdobná směrnice </w:t>
      </w:r>
      <w:r w:rsidR="00014188">
        <w:t xml:space="preserve">(směrnice </w:t>
      </w:r>
      <w:r w:rsidR="001E3DE7">
        <w:t>o omezení emisí některých znečišťujících látek do ovzduší ze středních spalovacích zařízení</w:t>
      </w:r>
      <w:r w:rsidR="00014188">
        <w:t>)</w:t>
      </w:r>
      <w:r w:rsidR="001E3DE7">
        <w:t>. Z uvedeného je zřejmé, že malé a střední spalovací zdroje m</w:t>
      </w:r>
      <w:r w:rsidR="001638BC">
        <w:t xml:space="preserve">usí tak jako tak splňovat předepsané parametry </w:t>
      </w:r>
      <w:r w:rsidR="001E3DE7">
        <w:t>(v mnoha případech na hranici technických možností). Zavedení uhlíkové daně tak postrádá jakýkoliv motivační efekt</w:t>
      </w:r>
      <w:r w:rsidR="001638BC">
        <w:t>, protože na trh</w:t>
      </w:r>
      <w:r w:rsidR="00014188">
        <w:t>u budou k dispozic</w:t>
      </w:r>
      <w:r w:rsidR="00316A6B">
        <w:t>i</w:t>
      </w:r>
      <w:r w:rsidR="00014188">
        <w:t xml:space="preserve"> </w:t>
      </w:r>
      <w:r w:rsidR="001638BC">
        <w:t>pouze zařízení špičkových parametrů.</w:t>
      </w:r>
    </w:p>
    <w:p w:rsidR="00C55D7B" w:rsidRDefault="00C55D7B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3C7E14" w:rsidRDefault="001638BC" w:rsidP="005A777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>
        <w:t xml:space="preserve">Snaha o snížení podílu pevných fosilních paliv ve spalovacích stacionárních zdrojích je žádoucí a zaslouží si pozornost. </w:t>
      </w:r>
      <w:r w:rsidR="00B51194">
        <w:t xml:space="preserve">Řešením však není další zdanění. V souladu se schválenou </w:t>
      </w:r>
      <w:proofErr w:type="spellStart"/>
      <w:r w:rsidR="00B51194">
        <w:t>ASEK</w:t>
      </w:r>
      <w:proofErr w:type="spellEnd"/>
      <w:r w:rsidR="00B51194">
        <w:t xml:space="preserve"> navrhujeme zavést opatření, které by podobně jako opatření </w:t>
      </w:r>
      <w:proofErr w:type="spellStart"/>
      <w:r w:rsidR="00B51194">
        <w:t>DA1</w:t>
      </w:r>
      <w:proofErr w:type="spellEnd"/>
      <w:r w:rsidR="00B51194">
        <w:t>, bylo zacíleno na urychlení obměny středních spalovacích zdrojů tepla</w:t>
      </w:r>
      <w:r w:rsidR="00C55D7B">
        <w:t xml:space="preserve"> na pevná paliva</w:t>
      </w:r>
      <w:r w:rsidR="00B51194">
        <w:t xml:space="preserve">, přechodem na </w:t>
      </w:r>
      <w:r w:rsidR="00B51194" w:rsidRPr="00B51194">
        <w:t>plynové</w:t>
      </w:r>
      <w:r w:rsidR="00B95FF2">
        <w:t>,</w:t>
      </w:r>
      <w:r w:rsidR="00B51194" w:rsidRPr="00B51194">
        <w:t xml:space="preserve"> </w:t>
      </w:r>
      <w:proofErr w:type="spellStart"/>
      <w:r w:rsidR="00C55D7B">
        <w:t>vysokoúčinné</w:t>
      </w:r>
      <w:proofErr w:type="spellEnd"/>
      <w:r w:rsidR="00C55D7B">
        <w:t xml:space="preserve"> </w:t>
      </w:r>
      <w:r w:rsidR="00B51194" w:rsidRPr="00B51194">
        <w:t>kogenerační zdroje</w:t>
      </w:r>
      <w:r w:rsidR="00B51194">
        <w:t>.</w:t>
      </w:r>
      <w:r w:rsidR="00C55D7B">
        <w:t xml:space="preserve"> </w:t>
      </w:r>
      <w:r w:rsidR="008A71EA">
        <w:t xml:space="preserve">Využití kogeneračních zdrojů tepla má řadu výhod a naplňuje cíle hned několika strategických materiálů. </w:t>
      </w:r>
      <w:r w:rsidR="00B95FF2">
        <w:t xml:space="preserve">Navrhované </w:t>
      </w:r>
      <w:r w:rsidR="008A71EA">
        <w:t xml:space="preserve">opatření má </w:t>
      </w:r>
      <w:r w:rsidR="00B95FF2">
        <w:t xml:space="preserve">rovněž </w:t>
      </w:r>
      <w:r w:rsidR="008A71EA">
        <w:t xml:space="preserve">synergický efekt k opatřením </w:t>
      </w:r>
      <w:proofErr w:type="spellStart"/>
      <w:r w:rsidR="008A71EA">
        <w:t>BA1</w:t>
      </w:r>
      <w:proofErr w:type="spellEnd"/>
      <w:r w:rsidR="008A71EA">
        <w:t xml:space="preserve"> a </w:t>
      </w:r>
      <w:proofErr w:type="spellStart"/>
      <w:r w:rsidR="008A71EA">
        <w:t>BA2</w:t>
      </w:r>
      <w:proofErr w:type="spellEnd"/>
      <w:r w:rsidR="008A71EA">
        <w:t xml:space="preserve"> a je optimálním řešením pro stávající lokální výtopny a kotelny na tuhá paliva. Navrhované opatření by </w:t>
      </w:r>
      <w:r w:rsidR="00B95FF2">
        <w:t xml:space="preserve">navíc </w:t>
      </w:r>
      <w:r w:rsidR="008A71EA">
        <w:t xml:space="preserve">bylo možné podpořit ze stávajících </w:t>
      </w:r>
      <w:proofErr w:type="spellStart"/>
      <w:r w:rsidR="008A71EA">
        <w:t>OPŽP</w:t>
      </w:r>
      <w:proofErr w:type="spellEnd"/>
      <w:r w:rsidR="008A71EA">
        <w:t xml:space="preserve">, popř. </w:t>
      </w:r>
      <w:proofErr w:type="spellStart"/>
      <w:r w:rsidR="008A71EA">
        <w:t>OPPIK</w:t>
      </w:r>
      <w:proofErr w:type="spellEnd"/>
      <w:r w:rsidR="008A71EA">
        <w:t xml:space="preserve"> 2014 – 2020.</w:t>
      </w:r>
    </w:p>
    <w:p w:rsidR="005A7778" w:rsidRDefault="00826306" w:rsidP="00E02E9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>
        <w:t>Praha 16. 6. 2015</w:t>
      </w:r>
    </w:p>
    <w:sectPr w:rsidR="005A7778" w:rsidSect="008A71EA">
      <w:headerReference w:type="default" r:id="rId7"/>
      <w:pgSz w:w="11906" w:h="16838"/>
      <w:pgMar w:top="198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59" w:rsidRDefault="001A5459" w:rsidP="008A71EA">
      <w:pPr>
        <w:spacing w:after="0" w:line="240" w:lineRule="auto"/>
      </w:pPr>
      <w:r>
        <w:separator/>
      </w:r>
    </w:p>
  </w:endnote>
  <w:endnote w:type="continuationSeparator" w:id="0">
    <w:p w:rsidR="001A5459" w:rsidRDefault="001A5459" w:rsidP="008A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59" w:rsidRDefault="001A5459" w:rsidP="008A71EA">
      <w:pPr>
        <w:spacing w:after="0" w:line="240" w:lineRule="auto"/>
      </w:pPr>
      <w:r>
        <w:separator/>
      </w:r>
    </w:p>
  </w:footnote>
  <w:footnote w:type="continuationSeparator" w:id="0">
    <w:p w:rsidR="001A5459" w:rsidRDefault="001A5459" w:rsidP="008A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EA" w:rsidRDefault="008A71EA" w:rsidP="008A71EA">
    <w:pPr>
      <w:pStyle w:val="Zhlav"/>
      <w:jc w:val="center"/>
    </w:pPr>
    <w:r w:rsidRPr="008A71EA">
      <w:rPr>
        <w:noProof/>
        <w:lang w:eastAsia="cs-CZ"/>
      </w:rPr>
      <w:drawing>
        <wp:inline distT="0" distB="0" distL="0" distR="0">
          <wp:extent cx="2695575" cy="695325"/>
          <wp:effectExtent l="19050" t="0" r="9525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86" cy="69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50D"/>
    <w:multiLevelType w:val="hybridMultilevel"/>
    <w:tmpl w:val="1748A934"/>
    <w:lvl w:ilvl="0" w:tplc="AFA4C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2ABB"/>
    <w:multiLevelType w:val="hybridMultilevel"/>
    <w:tmpl w:val="FACABB22"/>
    <w:lvl w:ilvl="0" w:tplc="88DA91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42B7"/>
    <w:multiLevelType w:val="hybridMultilevel"/>
    <w:tmpl w:val="80E2CB3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E155C"/>
    <w:multiLevelType w:val="hybridMultilevel"/>
    <w:tmpl w:val="1AA212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565D8"/>
    <w:multiLevelType w:val="hybridMultilevel"/>
    <w:tmpl w:val="5D70E5EE"/>
    <w:lvl w:ilvl="0" w:tplc="13367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5B"/>
    <w:rsid w:val="0000748C"/>
    <w:rsid w:val="00014188"/>
    <w:rsid w:val="0002368B"/>
    <w:rsid w:val="00025760"/>
    <w:rsid w:val="00030F5B"/>
    <w:rsid w:val="00057AB0"/>
    <w:rsid w:val="00085B92"/>
    <w:rsid w:val="000B5F11"/>
    <w:rsid w:val="00102933"/>
    <w:rsid w:val="001109DD"/>
    <w:rsid w:val="001638BC"/>
    <w:rsid w:val="0017548D"/>
    <w:rsid w:val="00193D68"/>
    <w:rsid w:val="001A5459"/>
    <w:rsid w:val="001B5C83"/>
    <w:rsid w:val="001E276E"/>
    <w:rsid w:val="001E3DE7"/>
    <w:rsid w:val="001F4636"/>
    <w:rsid w:val="00241F59"/>
    <w:rsid w:val="002515A5"/>
    <w:rsid w:val="00263AFD"/>
    <w:rsid w:val="00265046"/>
    <w:rsid w:val="00276473"/>
    <w:rsid w:val="00282BE5"/>
    <w:rsid w:val="002B3746"/>
    <w:rsid w:val="002F2828"/>
    <w:rsid w:val="002F792F"/>
    <w:rsid w:val="00302F26"/>
    <w:rsid w:val="00303377"/>
    <w:rsid w:val="00316A6B"/>
    <w:rsid w:val="0032279B"/>
    <w:rsid w:val="00324F39"/>
    <w:rsid w:val="00376877"/>
    <w:rsid w:val="0038023F"/>
    <w:rsid w:val="00381EA0"/>
    <w:rsid w:val="00383044"/>
    <w:rsid w:val="00385822"/>
    <w:rsid w:val="003A2D75"/>
    <w:rsid w:val="003C7E14"/>
    <w:rsid w:val="003D2DAA"/>
    <w:rsid w:val="003E26AC"/>
    <w:rsid w:val="00402E21"/>
    <w:rsid w:val="004238B4"/>
    <w:rsid w:val="004325EC"/>
    <w:rsid w:val="0047349B"/>
    <w:rsid w:val="0048475A"/>
    <w:rsid w:val="00493533"/>
    <w:rsid w:val="004D5CCD"/>
    <w:rsid w:val="00503560"/>
    <w:rsid w:val="005210BB"/>
    <w:rsid w:val="00535CAD"/>
    <w:rsid w:val="00544135"/>
    <w:rsid w:val="00552556"/>
    <w:rsid w:val="005664DD"/>
    <w:rsid w:val="00595359"/>
    <w:rsid w:val="005A7778"/>
    <w:rsid w:val="005B1309"/>
    <w:rsid w:val="005C2631"/>
    <w:rsid w:val="005C70D0"/>
    <w:rsid w:val="0063510C"/>
    <w:rsid w:val="00657BD4"/>
    <w:rsid w:val="00663593"/>
    <w:rsid w:val="00674FEE"/>
    <w:rsid w:val="00691289"/>
    <w:rsid w:val="006C7CE9"/>
    <w:rsid w:val="006E3A8F"/>
    <w:rsid w:val="007069C5"/>
    <w:rsid w:val="0077211F"/>
    <w:rsid w:val="0078571A"/>
    <w:rsid w:val="00786B43"/>
    <w:rsid w:val="007B3F0A"/>
    <w:rsid w:val="007E58AF"/>
    <w:rsid w:val="0081645A"/>
    <w:rsid w:val="00816AE7"/>
    <w:rsid w:val="00826306"/>
    <w:rsid w:val="00837558"/>
    <w:rsid w:val="00844545"/>
    <w:rsid w:val="0085074D"/>
    <w:rsid w:val="00867D97"/>
    <w:rsid w:val="00870779"/>
    <w:rsid w:val="00873A04"/>
    <w:rsid w:val="00885B6A"/>
    <w:rsid w:val="008A52AE"/>
    <w:rsid w:val="008A5CC9"/>
    <w:rsid w:val="008A71EA"/>
    <w:rsid w:val="008D27E7"/>
    <w:rsid w:val="008E140E"/>
    <w:rsid w:val="008F1D8D"/>
    <w:rsid w:val="008F68A2"/>
    <w:rsid w:val="009141DF"/>
    <w:rsid w:val="00934F0B"/>
    <w:rsid w:val="00950081"/>
    <w:rsid w:val="009A08CE"/>
    <w:rsid w:val="009B3460"/>
    <w:rsid w:val="009C28C1"/>
    <w:rsid w:val="009E7201"/>
    <w:rsid w:val="00A0284F"/>
    <w:rsid w:val="00A43425"/>
    <w:rsid w:val="00A45A4F"/>
    <w:rsid w:val="00A537D7"/>
    <w:rsid w:val="00A7534C"/>
    <w:rsid w:val="00AA1697"/>
    <w:rsid w:val="00AA631C"/>
    <w:rsid w:val="00AC3D97"/>
    <w:rsid w:val="00AC6BB7"/>
    <w:rsid w:val="00AD4F46"/>
    <w:rsid w:val="00B40EC9"/>
    <w:rsid w:val="00B51194"/>
    <w:rsid w:val="00B74108"/>
    <w:rsid w:val="00B95FF2"/>
    <w:rsid w:val="00BA05C8"/>
    <w:rsid w:val="00BA412F"/>
    <w:rsid w:val="00BB59B5"/>
    <w:rsid w:val="00BE23DF"/>
    <w:rsid w:val="00BF710E"/>
    <w:rsid w:val="00C002C0"/>
    <w:rsid w:val="00C16795"/>
    <w:rsid w:val="00C21CEE"/>
    <w:rsid w:val="00C23AC1"/>
    <w:rsid w:val="00C3752E"/>
    <w:rsid w:val="00C4223E"/>
    <w:rsid w:val="00C55D7B"/>
    <w:rsid w:val="00C82487"/>
    <w:rsid w:val="00CE2836"/>
    <w:rsid w:val="00CF2C3B"/>
    <w:rsid w:val="00D23F90"/>
    <w:rsid w:val="00DA1C38"/>
    <w:rsid w:val="00DC3EB8"/>
    <w:rsid w:val="00DD3281"/>
    <w:rsid w:val="00DD6F4F"/>
    <w:rsid w:val="00DE3A9D"/>
    <w:rsid w:val="00DE762E"/>
    <w:rsid w:val="00E01DF3"/>
    <w:rsid w:val="00E02E9C"/>
    <w:rsid w:val="00E15B76"/>
    <w:rsid w:val="00E26016"/>
    <w:rsid w:val="00E710D4"/>
    <w:rsid w:val="00E863E5"/>
    <w:rsid w:val="00EA46ED"/>
    <w:rsid w:val="00EB0B12"/>
    <w:rsid w:val="00EB5907"/>
    <w:rsid w:val="00EE4F03"/>
    <w:rsid w:val="00F1590F"/>
    <w:rsid w:val="00FB6AEE"/>
    <w:rsid w:val="00FC6417"/>
    <w:rsid w:val="00FF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Theme="minorHAnsi" w:hAnsi="Franklin Gothic Book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37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A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71EA"/>
  </w:style>
  <w:style w:type="paragraph" w:styleId="Zpat">
    <w:name w:val="footer"/>
    <w:basedOn w:val="Normln"/>
    <w:link w:val="ZpatChar"/>
    <w:uiPriority w:val="99"/>
    <w:semiHidden/>
    <w:unhideWhenUsed/>
    <w:rsid w:val="008A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71EA"/>
  </w:style>
  <w:style w:type="paragraph" w:styleId="Textbubliny">
    <w:name w:val="Balloon Text"/>
    <w:basedOn w:val="Normln"/>
    <w:link w:val="TextbublinyChar"/>
    <w:uiPriority w:val="99"/>
    <w:semiHidden/>
    <w:unhideWhenUsed/>
    <w:rsid w:val="008A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Pripominkovani</dc:creator>
  <cp:lastModifiedBy>Pecanek 2</cp:lastModifiedBy>
  <cp:revision>4</cp:revision>
  <dcterms:created xsi:type="dcterms:W3CDTF">2015-06-16T13:45:00Z</dcterms:created>
  <dcterms:modified xsi:type="dcterms:W3CDTF">2015-06-16T14:05:00Z</dcterms:modified>
</cp:coreProperties>
</file>